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项目名称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340" w:lineRule="exact"/>
              <w:rPr>
                <w:kern w:val="0"/>
              </w:rPr>
            </w:pPr>
            <w:r>
              <w:rPr>
                <w:rFonts w:hint="eastAsia"/>
                <w:kern w:val="0"/>
                <w:sz w:val="24"/>
              </w:rPr>
              <w:t>智能化车辆识别、监控与诊断终端产品及运营服务平台项目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项目所属</w:t>
            </w:r>
          </w:p>
          <w:p>
            <w:pPr>
              <w:spacing w:line="340" w:lineRule="exact"/>
              <w:jc w:val="center"/>
              <w:rPr>
                <w:b/>
                <w:kern w:val="0"/>
              </w:rPr>
            </w:pPr>
            <w:r>
              <w:rPr>
                <w:rFonts w:hint="eastAsia"/>
                <w:b/>
                <w:kern w:val="0"/>
                <w:sz w:val="24"/>
              </w:rPr>
              <w:t>行业</w:t>
            </w:r>
          </w:p>
        </w:tc>
        <w:tc>
          <w:tcPr>
            <w:tcW w:w="6974" w:type="dxa"/>
            <w:tcBorders>
              <w:top w:val="single" w:color="auto" w:sz="4" w:space="0"/>
              <w:left w:val="single" w:color="auto" w:sz="4" w:space="0"/>
              <w:bottom w:val="single" w:color="auto" w:sz="4" w:space="0"/>
              <w:right w:val="single" w:color="auto" w:sz="4" w:space="0"/>
            </w:tcBorders>
            <w:vAlign w:val="center"/>
          </w:tcPr>
          <w:p>
            <w:pPr>
              <w:spacing w:line="340" w:lineRule="exact"/>
              <w:rPr>
                <w:color w:val="FF0000"/>
                <w:kern w:val="0"/>
              </w:rPr>
            </w:pPr>
            <w:r>
              <w:rPr>
                <w:rFonts w:hint="eastAsia"/>
                <w:kern w:val="0"/>
                <w:sz w:val="24"/>
              </w:rPr>
              <w:t>电子信息产业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建设地点</w:t>
            </w:r>
          </w:p>
        </w:tc>
        <w:tc>
          <w:tcPr>
            <w:tcW w:w="6974" w:type="dxa"/>
            <w:tcBorders>
              <w:top w:val="single" w:color="auto" w:sz="4" w:space="0"/>
              <w:left w:val="single" w:color="auto" w:sz="4" w:space="0"/>
              <w:bottom w:val="single" w:color="auto" w:sz="4" w:space="0"/>
              <w:right w:val="single" w:color="auto" w:sz="4" w:space="0"/>
            </w:tcBorders>
            <w:vAlign w:val="center"/>
          </w:tcPr>
          <w:p>
            <w:pPr>
              <w:spacing w:line="340" w:lineRule="exact"/>
              <w:rPr>
                <w:kern w:val="0"/>
              </w:rPr>
            </w:pPr>
            <w:r>
              <w:rPr>
                <w:rFonts w:hint="eastAsia"/>
                <w:kern w:val="0"/>
                <w:sz w:val="24"/>
              </w:rPr>
              <w:t>玉溪国家高新技术产业开发区龙泉园区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项目概述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340" w:lineRule="exact"/>
              <w:rPr>
                <w:kern w:val="0"/>
              </w:rPr>
            </w:pPr>
            <w:r>
              <w:rPr>
                <w:rFonts w:hint="eastAsia"/>
                <w:kern w:val="0"/>
                <w:sz w:val="24"/>
              </w:rPr>
              <w:t xml:space="preserve"> 随着产业政策不断出台和技术取得突破，车联网行业市场空间十分广阔。车联网产业链涵盖汽车零部件生产厂家、芯片厂商、软件提供商、方案提供商、网络供应商等多个领域，将给众多新兴产业带来巨大发展机遇。随着我国在基础网络技术、云计算、大数据技术以及物联网、传感器技术研发和标准研制等方面实现重大突破，车联网的市场认知度将不断提升。到2020年，预计我国汽车保有量将超过2亿辆，车联网渗透率超过20%，车联网全产业链将爆发性增长</w:t>
            </w:r>
          </w:p>
          <w:p>
            <w:pPr>
              <w:spacing w:line="340" w:lineRule="exact"/>
              <w:rPr>
                <w:rFonts w:asciiTheme="minorEastAsia" w:hAnsiTheme="minorEastAsia" w:eastAsiaTheme="minorEastAsia"/>
                <w:kern w:val="0"/>
              </w:rPr>
            </w:pPr>
            <w:r>
              <w:rPr>
                <w:rFonts w:hint="eastAsia"/>
                <w:kern w:val="0"/>
                <w:sz w:val="24"/>
              </w:rPr>
              <w:t>车联网行业的市场前景十分看好，玉溪国家高新技术产业开发区在车联网发展方面具备一定的产业基础。因此，规划通过招商引资，建设智能化车辆识别、监控与诊断终端产品及运营服务平台项目，延伸产业链，扩大产业能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项目建设</w:t>
            </w:r>
          </w:p>
          <w:p>
            <w:pPr>
              <w:spacing w:line="340" w:lineRule="exact"/>
              <w:jc w:val="center"/>
              <w:rPr>
                <w:b/>
                <w:kern w:val="0"/>
              </w:rPr>
            </w:pPr>
            <w:r>
              <w:rPr>
                <w:rFonts w:hint="eastAsia"/>
                <w:b/>
                <w:kern w:val="0"/>
                <w:sz w:val="24"/>
              </w:rPr>
              <w:t>内容</w:t>
            </w:r>
          </w:p>
        </w:tc>
        <w:tc>
          <w:tcPr>
            <w:tcW w:w="6974" w:type="dxa"/>
            <w:tcBorders>
              <w:top w:val="single" w:color="auto" w:sz="4" w:space="0"/>
              <w:left w:val="single" w:color="auto" w:sz="4" w:space="0"/>
              <w:bottom w:val="single" w:color="auto" w:sz="4" w:space="0"/>
              <w:right w:val="single" w:color="auto" w:sz="4" w:space="0"/>
            </w:tcBorders>
          </w:tcPr>
          <w:p>
            <w:pPr>
              <w:spacing w:line="340" w:lineRule="exact"/>
              <w:rPr>
                <w:rFonts w:asciiTheme="minorEastAsia" w:hAnsiTheme="minorEastAsia" w:eastAsiaTheme="minorEastAsia"/>
                <w:kern w:val="0"/>
              </w:rPr>
            </w:pPr>
            <w:r>
              <w:rPr>
                <w:rFonts w:hint="eastAsia"/>
                <w:b/>
                <w:kern w:val="0"/>
                <w:sz w:val="24"/>
              </w:rPr>
              <w:t>建设规模</w:t>
            </w:r>
            <w:r>
              <w:rPr>
                <w:rFonts w:hint="eastAsia"/>
                <w:kern w:val="0"/>
                <w:sz w:val="24"/>
              </w:rPr>
              <w:t>：主要建设综合服务区、生产区、仓储物流区、车联网综合运营服务中心及生活服务区，</w:t>
            </w:r>
            <w:r>
              <w:rPr>
                <w:rFonts w:hint="eastAsia" w:asciiTheme="minorEastAsia" w:hAnsiTheme="minorEastAsia" w:eastAsiaTheme="minorEastAsia"/>
                <w:sz w:val="24"/>
              </w:rPr>
              <w:t>总建筑面积135000m</w:t>
            </w:r>
            <w:r>
              <w:rPr>
                <w:rFonts w:hint="eastAsia" w:asciiTheme="minorEastAsia" w:hAnsiTheme="minorEastAsia" w:eastAsiaTheme="minorEastAsia"/>
                <w:sz w:val="24"/>
                <w:vertAlign w:val="superscript"/>
              </w:rPr>
              <w:t>2</w:t>
            </w:r>
            <w:r>
              <w:rPr>
                <w:rFonts w:hint="eastAsia" w:asciiTheme="minorEastAsia" w:hAnsiTheme="minorEastAsia" w:eastAsiaTheme="minorEastAsia"/>
                <w:kern w:val="0"/>
                <w:sz w:val="24"/>
              </w:rPr>
              <w:t>。车联网智能终端产品的产能将达到30万台（套）/年，最终建设成为集车联网智能终端产品研发、生产、交易及数据综合运营服务等于一体的国家级车联网产业示范基地</w:t>
            </w:r>
          </w:p>
          <w:p>
            <w:pPr>
              <w:spacing w:line="340" w:lineRule="exact"/>
              <w:rPr>
                <w:kern w:val="0"/>
              </w:rPr>
            </w:pPr>
            <w:r>
              <w:rPr>
                <w:rFonts w:hint="eastAsia"/>
                <w:b/>
                <w:kern w:val="0"/>
                <w:sz w:val="24"/>
              </w:rPr>
              <w:t>建设期限</w:t>
            </w:r>
            <w:r>
              <w:rPr>
                <w:rFonts w:hint="eastAsia"/>
                <w:kern w:val="0"/>
                <w:sz w:val="24"/>
              </w:rPr>
              <w:t>：项目建设期为2年</w:t>
            </w:r>
          </w:p>
          <w:p>
            <w:pPr>
              <w:spacing w:line="340" w:lineRule="exact"/>
              <w:rPr>
                <w:kern w:val="0"/>
              </w:rPr>
            </w:pPr>
            <w:r>
              <w:rPr>
                <w:rFonts w:hint="eastAsia"/>
                <w:b/>
                <w:kern w:val="0"/>
                <w:sz w:val="24"/>
              </w:rPr>
              <w:t>占地面积</w:t>
            </w:r>
            <w:r>
              <w:rPr>
                <w:rFonts w:hint="eastAsia"/>
                <w:kern w:val="0"/>
                <w:sz w:val="24"/>
              </w:rPr>
              <w:t>：180亩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项目配套条件</w:t>
            </w:r>
          </w:p>
        </w:tc>
        <w:tc>
          <w:tcPr>
            <w:tcW w:w="6974" w:type="dxa"/>
            <w:tcBorders>
              <w:top w:val="single" w:color="auto" w:sz="4" w:space="0"/>
              <w:left w:val="single" w:color="auto" w:sz="4" w:space="0"/>
              <w:bottom w:val="single" w:color="auto" w:sz="4" w:space="0"/>
              <w:right w:val="single" w:color="auto" w:sz="4" w:space="0"/>
            </w:tcBorders>
          </w:tcPr>
          <w:p>
            <w:pPr>
              <w:spacing w:line="340" w:lineRule="exact"/>
              <w:rPr>
                <w:kern w:val="0"/>
              </w:rPr>
            </w:pPr>
            <w:r>
              <w:rPr>
                <w:rFonts w:hint="eastAsia"/>
                <w:b/>
                <w:kern w:val="0"/>
                <w:sz w:val="24"/>
              </w:rPr>
              <w:t>项目优势</w:t>
            </w:r>
            <w:r>
              <w:rPr>
                <w:rFonts w:hint="eastAsia"/>
                <w:kern w:val="0"/>
                <w:sz w:val="24"/>
              </w:rPr>
              <w:t>：1、市场发展潜力巨大：汽车厂家纷纷选择主动出击拥抱互联网。到2018年，全球车联网市场规模预计将达到400亿欧元以上。我国智能交通和智慧城市建设将推动车联网飞速发展。到2018年，市场规模预计有望达到2000亿元；2、科技巨头大力推动：随着谷歌、苹果、三星等科技巨头强势介入以及整车企业和通信运营商的积极推进，大量车联网应用将诞生，进而带动和催生庞大的产业链；3、基础条件相对较好：玉溪是昆-玉信息产业发展轴的重要组成部分，以华为云计算数据中心项目为依托，随着地理信息服务、通信服务、北斗应用服务、智慧城市信息服务及车联网信息方面等与车联网密切相关的一批在建、签约、在谈项目陆续建成，车联网产业正在形成集聚发展态势；4、产业政策大力扶持：我国陆续发布《物联网“十二五”发展规划》、《关于加强道路安全工作的意见》、《关于加快推进“重点运输过程监控管理服务示范系统工程”实施工作的通知》、《中国制造2025》、《国务院关于积极推进“互联网+ ”行动的指导意见》等文件，物联网、车联网、智能汽车发展的政策环境宽松优越</w:t>
            </w:r>
          </w:p>
          <w:p>
            <w:pPr>
              <w:spacing w:line="340" w:lineRule="exact"/>
              <w:rPr>
                <w:kern w:val="0"/>
              </w:rPr>
            </w:pPr>
            <w:r>
              <w:rPr>
                <w:rFonts w:hint="eastAsia"/>
                <w:b/>
                <w:kern w:val="0"/>
                <w:sz w:val="24"/>
              </w:rPr>
              <w:t>项目前期准备情况</w:t>
            </w:r>
            <w:r>
              <w:rPr>
                <w:rFonts w:hint="eastAsia"/>
                <w:kern w:val="0"/>
                <w:sz w:val="24"/>
              </w:rPr>
              <w:t>：委托新加坡裕廊国际工程（苏州）有限公司编制了《玉溪国家高新区龙泉园区总体规划（2014-2030）》重点发展电子信息等五大产业。园区内外通达性好，基础设施不断完善，有3个创新服务机构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投资估算及资金筹措</w:t>
            </w:r>
          </w:p>
        </w:tc>
        <w:tc>
          <w:tcPr>
            <w:tcW w:w="6974" w:type="dxa"/>
            <w:tcBorders>
              <w:top w:val="single" w:color="auto" w:sz="4" w:space="0"/>
              <w:left w:val="single" w:color="auto" w:sz="4" w:space="0"/>
              <w:bottom w:val="single" w:color="auto" w:sz="4" w:space="0"/>
              <w:right w:val="single" w:color="auto" w:sz="4" w:space="0"/>
            </w:tcBorders>
          </w:tcPr>
          <w:p>
            <w:pPr>
              <w:spacing w:line="340" w:lineRule="exact"/>
              <w:rPr>
                <w:kern w:val="0"/>
              </w:rPr>
            </w:pPr>
            <w:r>
              <w:rPr>
                <w:rFonts w:hint="eastAsia"/>
                <w:b/>
                <w:kern w:val="0"/>
                <w:sz w:val="24"/>
              </w:rPr>
              <w:t>投资估算</w:t>
            </w:r>
            <w:r>
              <w:rPr>
                <w:rFonts w:hint="eastAsia"/>
                <w:kern w:val="0"/>
                <w:sz w:val="24"/>
              </w:rPr>
              <w:t>：项目总投资77870万元，其中，建设工程投资19070万元、土地成本6300万元、流动铺底资金15500万元</w:t>
            </w:r>
          </w:p>
          <w:p>
            <w:pPr>
              <w:spacing w:line="340" w:lineRule="exact"/>
              <w:rPr>
                <w:kern w:val="0"/>
              </w:rPr>
            </w:pPr>
            <w:r>
              <w:rPr>
                <w:rFonts w:hint="eastAsia"/>
                <w:b/>
                <w:kern w:val="0"/>
                <w:sz w:val="24"/>
              </w:rPr>
              <w:t>筹措方式</w:t>
            </w:r>
            <w:r>
              <w:rPr>
                <w:rFonts w:hint="eastAsia"/>
                <w:kern w:val="0"/>
                <w:sz w:val="24"/>
              </w:rPr>
              <w:t>：企业自筹、银行贷款及其它融资方式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项目可享受的优惠政策</w:t>
            </w:r>
          </w:p>
        </w:tc>
        <w:tc>
          <w:tcPr>
            <w:tcW w:w="6974" w:type="dxa"/>
            <w:tcBorders>
              <w:top w:val="single" w:color="auto" w:sz="4" w:space="0"/>
              <w:left w:val="single" w:color="auto" w:sz="4" w:space="0"/>
              <w:bottom w:val="single" w:color="auto" w:sz="4" w:space="0"/>
              <w:right w:val="single" w:color="auto" w:sz="4" w:space="0"/>
            </w:tcBorders>
          </w:tcPr>
          <w:p>
            <w:pPr>
              <w:spacing w:line="340" w:lineRule="exact"/>
              <w:rPr>
                <w:kern w:val="0"/>
              </w:rPr>
            </w:pPr>
            <w:r>
              <w:rPr>
                <w:rFonts w:hint="eastAsia"/>
                <w:kern w:val="0"/>
                <w:sz w:val="24"/>
              </w:rPr>
              <w:t>本项目能享受的招商引资主要政策有：《玉溪市人民政府关于解决建设项目落地困难进一步改善投资环境的实施意见》、《关于进一步加强招商引资工作的实施意见》、《云南省人民政府关于支持玉溪国家高新技术产业开发区发展的意见》、《玉溪高新技术产业开发区关于加强招商引资工作推动产业转型升级暂行办法》、《玉溪高新区引进高层次人才暂行办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市场预测（分析）</w:t>
            </w:r>
          </w:p>
        </w:tc>
        <w:tc>
          <w:tcPr>
            <w:tcW w:w="6974" w:type="dxa"/>
            <w:tcBorders>
              <w:top w:val="single" w:color="auto" w:sz="4" w:space="0"/>
              <w:left w:val="single" w:color="auto" w:sz="4" w:space="0"/>
              <w:bottom w:val="single" w:color="auto" w:sz="4" w:space="0"/>
              <w:right w:val="single" w:color="auto" w:sz="4" w:space="0"/>
            </w:tcBorders>
            <w:vAlign w:val="center"/>
          </w:tcPr>
          <w:p>
            <w:pPr>
              <w:spacing w:line="340" w:lineRule="exact"/>
              <w:rPr>
                <w:kern w:val="0"/>
              </w:rPr>
            </w:pPr>
            <w:r>
              <w:rPr>
                <w:rFonts w:hint="eastAsia"/>
                <w:b/>
                <w:kern w:val="0"/>
                <w:sz w:val="24"/>
              </w:rPr>
              <w:t>市场定位</w:t>
            </w:r>
            <w:r>
              <w:rPr>
                <w:rFonts w:hint="eastAsia"/>
                <w:kern w:val="0"/>
                <w:sz w:val="24"/>
              </w:rPr>
              <w:t>：国内市场</w:t>
            </w:r>
          </w:p>
          <w:p>
            <w:pPr>
              <w:spacing w:line="340" w:lineRule="exact"/>
              <w:rPr>
                <w:kern w:val="0"/>
              </w:rPr>
            </w:pPr>
            <w:r>
              <w:rPr>
                <w:rFonts w:hint="eastAsia"/>
                <w:b/>
                <w:kern w:val="0"/>
                <w:sz w:val="24"/>
              </w:rPr>
              <w:t>市场分析</w:t>
            </w:r>
            <w:r>
              <w:rPr>
                <w:rFonts w:hint="eastAsia"/>
                <w:kern w:val="0"/>
                <w:sz w:val="24"/>
              </w:rPr>
              <w:t>：1、市场规模分析：我国汽车保有量持续增长，到2020年，预计将达到2.5亿辆。汽车数量激增给城市、环境以及人们的生活带来了一系列负面的影响，为智能汽车、车联网的发展创造了有利的条件。我国车联网渗透率正在逐年上升。2010年，车联网渗透率仅为4%左右；2015年，预计将达到10%；到2020年，车联网渗透率预计将进一步上升至20%，市场规模有望突破3000亿元；2、重点企业分析：车联网作为移动互联网、汽车产业结合的产物，颠覆作用将逐步显现。近年来，车联网成为各路资本追逐的热点，多家企业相继涉足。目前，我国已经形成了以高德软件、四维图新、易华录、启明信息等为代表的一批龙头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项目盈利模式及初步效益分析</w:t>
            </w:r>
          </w:p>
        </w:tc>
        <w:tc>
          <w:tcPr>
            <w:tcW w:w="6974" w:type="dxa"/>
            <w:tcBorders>
              <w:top w:val="single" w:color="auto" w:sz="4" w:space="0"/>
              <w:left w:val="single" w:color="auto" w:sz="4" w:space="0"/>
              <w:bottom w:val="single" w:color="auto" w:sz="4" w:space="0"/>
              <w:right w:val="single" w:color="auto" w:sz="4" w:space="0"/>
            </w:tcBorders>
            <w:vAlign w:val="center"/>
          </w:tcPr>
          <w:p>
            <w:pPr>
              <w:spacing w:line="340" w:lineRule="exact"/>
              <w:rPr>
                <w:kern w:val="0"/>
              </w:rPr>
            </w:pPr>
            <w:r>
              <w:rPr>
                <w:rFonts w:hint="eastAsia"/>
                <w:b/>
                <w:kern w:val="0"/>
                <w:sz w:val="24"/>
              </w:rPr>
              <w:t>项目赢利点</w:t>
            </w:r>
            <w:r>
              <w:rPr>
                <w:rFonts w:hint="eastAsia"/>
                <w:kern w:val="0"/>
                <w:sz w:val="24"/>
              </w:rPr>
              <w:t>：智能终端产品销售收入、车联云服务收入</w:t>
            </w:r>
          </w:p>
          <w:p>
            <w:pPr>
              <w:spacing w:line="340" w:lineRule="exact"/>
              <w:rPr>
                <w:kern w:val="0"/>
              </w:rPr>
            </w:pPr>
            <w:r>
              <w:rPr>
                <w:rFonts w:hint="eastAsia"/>
                <w:b/>
                <w:kern w:val="0"/>
                <w:sz w:val="24"/>
              </w:rPr>
              <w:t>初步效益分析</w:t>
            </w:r>
            <w:r>
              <w:rPr>
                <w:rFonts w:hint="eastAsia"/>
                <w:kern w:val="0"/>
                <w:sz w:val="24"/>
              </w:rPr>
              <w:t>：通过简单动态财务测算，扣除各种税金及附加，项目每年能实现净利润约12661万元。以现金流量测算，投资回收期为5年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项目风险分析</w:t>
            </w:r>
          </w:p>
        </w:tc>
        <w:tc>
          <w:tcPr>
            <w:tcW w:w="6974" w:type="dxa"/>
            <w:tcBorders>
              <w:top w:val="single" w:color="auto" w:sz="4" w:space="0"/>
              <w:left w:val="single" w:color="auto" w:sz="4" w:space="0"/>
              <w:bottom w:val="single" w:color="auto" w:sz="4" w:space="0"/>
              <w:right w:val="single" w:color="auto" w:sz="4" w:space="0"/>
            </w:tcBorders>
            <w:vAlign w:val="center"/>
          </w:tcPr>
          <w:p>
            <w:pPr>
              <w:spacing w:line="340" w:lineRule="exact"/>
              <w:rPr>
                <w:kern w:val="0"/>
              </w:rPr>
            </w:pPr>
            <w:r>
              <w:rPr>
                <w:rFonts w:hint="eastAsia"/>
                <w:b/>
                <w:kern w:val="0"/>
                <w:sz w:val="24"/>
              </w:rPr>
              <w:t>主要风险</w:t>
            </w:r>
            <w:r>
              <w:rPr>
                <w:rFonts w:hint="eastAsia"/>
                <w:kern w:val="0"/>
                <w:sz w:val="24"/>
              </w:rPr>
              <w:t>：技术开发风险和人才风险，风险较小</w:t>
            </w:r>
          </w:p>
          <w:p>
            <w:pPr>
              <w:spacing w:line="340" w:lineRule="exact"/>
              <w:rPr>
                <w:kern w:val="0"/>
              </w:rPr>
            </w:pPr>
            <w:r>
              <w:rPr>
                <w:rFonts w:hint="eastAsia"/>
                <w:b/>
                <w:kern w:val="0"/>
                <w:sz w:val="24"/>
              </w:rPr>
              <w:t>防范措施</w:t>
            </w:r>
            <w:r>
              <w:rPr>
                <w:rFonts w:hint="eastAsia"/>
                <w:kern w:val="0"/>
                <w:sz w:val="24"/>
              </w:rPr>
              <w:t>：技术开发风险的主要防范措施是：1、加大资源投入力度；2、加强技术研发与合作；3、不断提升产品品质。人才风险的主要防范措施是：1、外聘所需的核心技术人才；2、与职校联合培育人才；3、加强对人才的激励和人性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合作方式</w:t>
            </w:r>
          </w:p>
        </w:tc>
        <w:tc>
          <w:tcPr>
            <w:tcW w:w="6974" w:type="dxa"/>
            <w:tcBorders>
              <w:top w:val="single" w:color="auto" w:sz="4" w:space="0"/>
              <w:left w:val="single" w:color="auto" w:sz="4" w:space="0"/>
              <w:bottom w:val="single" w:color="auto" w:sz="4" w:space="0"/>
              <w:right w:val="single" w:color="auto" w:sz="4" w:space="0"/>
            </w:tcBorders>
            <w:vAlign w:val="center"/>
          </w:tcPr>
          <w:p>
            <w:pPr>
              <w:spacing w:line="340" w:lineRule="exact"/>
              <w:rPr>
                <w:kern w:val="0"/>
              </w:rPr>
            </w:pPr>
            <w:r>
              <w:rPr>
                <w:rFonts w:hint="eastAsia"/>
                <w:kern w:val="0"/>
                <w:sz w:val="24"/>
              </w:rPr>
              <w:t>独资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联系方式</w:t>
            </w:r>
          </w:p>
        </w:tc>
        <w:tc>
          <w:tcPr>
            <w:tcW w:w="6974" w:type="dxa"/>
            <w:tcBorders>
              <w:top w:val="single" w:color="auto" w:sz="4" w:space="0"/>
              <w:left w:val="single" w:color="auto" w:sz="4" w:space="0"/>
              <w:bottom w:val="single" w:color="auto" w:sz="4" w:space="0"/>
              <w:right w:val="single" w:color="auto" w:sz="4" w:space="0"/>
            </w:tcBorders>
            <w:vAlign w:val="center"/>
          </w:tcPr>
          <w:p>
            <w:pPr>
              <w:spacing w:line="340" w:lineRule="exact"/>
              <w:rPr>
                <w:kern w:val="0"/>
              </w:rPr>
            </w:pPr>
            <w:r>
              <w:rPr>
                <w:rFonts w:hint="eastAsia"/>
                <w:kern w:val="0"/>
                <w:sz w:val="24"/>
              </w:rPr>
              <w:t>联系单位：</w:t>
            </w:r>
            <w:r>
              <w:rPr>
                <w:rFonts w:hint="eastAsia"/>
                <w:kern w:val="0"/>
                <w:sz w:val="24"/>
                <w:lang w:eastAsia="zh-CN"/>
              </w:rPr>
              <w:t>云南省沪滇合作促进会</w:t>
            </w:r>
          </w:p>
          <w:p>
            <w:pPr>
              <w:spacing w:line="340" w:lineRule="exact"/>
              <w:rPr>
                <w:kern w:val="0"/>
              </w:rPr>
            </w:pPr>
            <w:r>
              <w:rPr>
                <w:rFonts w:hint="eastAsia"/>
                <w:kern w:val="0"/>
                <w:sz w:val="24"/>
              </w:rPr>
              <w:t>联 系 人：</w:t>
            </w:r>
            <w:r>
              <w:rPr>
                <w:rFonts w:hint="eastAsia"/>
                <w:kern w:val="0"/>
                <w:sz w:val="24"/>
                <w:lang w:eastAsia="zh-CN"/>
              </w:rPr>
              <w:t>崔先生</w:t>
            </w:r>
          </w:p>
          <w:p>
            <w:pPr>
              <w:spacing w:line="340" w:lineRule="exact"/>
              <w:rPr>
                <w:kern w:val="0"/>
              </w:rPr>
            </w:pPr>
            <w:r>
              <w:rPr>
                <w:rFonts w:hint="eastAsia"/>
                <w:kern w:val="0"/>
                <w:sz w:val="24"/>
              </w:rPr>
              <w:t>联系电话：</w:t>
            </w:r>
            <w:r>
              <w:rPr>
                <w:rFonts w:hint="eastAsia"/>
                <w:kern w:val="0"/>
                <w:sz w:val="24"/>
                <w:lang w:val="en-US" w:eastAsia="zh-CN"/>
              </w:rPr>
              <w:t>18988295667</w:t>
            </w:r>
          </w:p>
          <w:p>
            <w:pPr>
              <w:spacing w:line="340" w:lineRule="exact"/>
              <w:rPr>
                <w:kern w:val="0"/>
              </w:rPr>
            </w:pPr>
            <w:r>
              <w:rPr>
                <w:rFonts w:hint="eastAsia"/>
                <w:kern w:val="0"/>
                <w:sz w:val="24"/>
              </w:rPr>
              <w:t>传    真：</w:t>
            </w:r>
            <w:r>
              <w:rPr>
                <w:kern w:val="0"/>
                <w:sz w:val="24"/>
              </w:rPr>
              <w:t>087</w:t>
            </w:r>
            <w:r>
              <w:rPr>
                <w:rFonts w:hint="eastAsia"/>
                <w:kern w:val="0"/>
                <w:sz w:val="24"/>
                <w:lang w:val="en-US" w:eastAsia="zh-CN"/>
              </w:rPr>
              <w:t>1</w:t>
            </w:r>
            <w:r>
              <w:rPr>
                <w:kern w:val="0"/>
                <w:sz w:val="24"/>
              </w:rPr>
              <w:t>-</w:t>
            </w:r>
            <w:r>
              <w:rPr>
                <w:rFonts w:hint="eastAsia"/>
                <w:kern w:val="0"/>
                <w:sz w:val="24"/>
                <w:lang w:val="en-US" w:eastAsia="zh-CN"/>
              </w:rPr>
              <w:t>63310506</w:t>
            </w:r>
          </w:p>
          <w:p>
            <w:pPr>
              <w:spacing w:line="340" w:lineRule="exact"/>
              <w:rPr>
                <w:kern w:val="0"/>
              </w:rPr>
            </w:pPr>
            <w:r>
              <w:rPr>
                <w:rFonts w:hint="eastAsia"/>
                <w:kern w:val="0"/>
                <w:sz w:val="24"/>
              </w:rPr>
              <w:t>电子邮箱：</w:t>
            </w:r>
            <w:r>
              <w:rPr>
                <w:rFonts w:hint="eastAsia"/>
                <w:kern w:val="0"/>
                <w:sz w:val="24"/>
                <w:lang w:val="en-US" w:eastAsia="zh-CN"/>
              </w:rPr>
              <w:t>18988295667@qq.com</w:t>
            </w:r>
            <w:bookmarkStart w:id="0" w:name="_GoBack"/>
            <w:bookmarkEnd w:id="0"/>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64F6F"/>
    <w:rsid w:val="00003E08"/>
    <w:rsid w:val="00035855"/>
    <w:rsid w:val="000501BC"/>
    <w:rsid w:val="000562D8"/>
    <w:rsid w:val="000948FF"/>
    <w:rsid w:val="000B6A9D"/>
    <w:rsid w:val="00104B0D"/>
    <w:rsid w:val="00107AFE"/>
    <w:rsid w:val="00110A62"/>
    <w:rsid w:val="001346E7"/>
    <w:rsid w:val="001370BF"/>
    <w:rsid w:val="001434F7"/>
    <w:rsid w:val="0014678A"/>
    <w:rsid w:val="001775E9"/>
    <w:rsid w:val="00184E9A"/>
    <w:rsid w:val="001876CF"/>
    <w:rsid w:val="001B5882"/>
    <w:rsid w:val="001C74CC"/>
    <w:rsid w:val="001E792D"/>
    <w:rsid w:val="001F3A37"/>
    <w:rsid w:val="00202D13"/>
    <w:rsid w:val="00233BD0"/>
    <w:rsid w:val="002B3BBC"/>
    <w:rsid w:val="002B45ED"/>
    <w:rsid w:val="002C16B2"/>
    <w:rsid w:val="003132BA"/>
    <w:rsid w:val="00322D95"/>
    <w:rsid w:val="00392FCD"/>
    <w:rsid w:val="003B6525"/>
    <w:rsid w:val="003E5C3F"/>
    <w:rsid w:val="00405545"/>
    <w:rsid w:val="0041409C"/>
    <w:rsid w:val="00426884"/>
    <w:rsid w:val="00433DBC"/>
    <w:rsid w:val="004844A6"/>
    <w:rsid w:val="00493951"/>
    <w:rsid w:val="004A1982"/>
    <w:rsid w:val="004B0098"/>
    <w:rsid w:val="004E3222"/>
    <w:rsid w:val="004F36E9"/>
    <w:rsid w:val="00506932"/>
    <w:rsid w:val="005273C5"/>
    <w:rsid w:val="00544020"/>
    <w:rsid w:val="00585FFA"/>
    <w:rsid w:val="005A21B0"/>
    <w:rsid w:val="005A4177"/>
    <w:rsid w:val="005D0600"/>
    <w:rsid w:val="005E507B"/>
    <w:rsid w:val="006035B3"/>
    <w:rsid w:val="006052BC"/>
    <w:rsid w:val="00652DB0"/>
    <w:rsid w:val="00661A91"/>
    <w:rsid w:val="006754EE"/>
    <w:rsid w:val="00697538"/>
    <w:rsid w:val="006B78D7"/>
    <w:rsid w:val="006E3379"/>
    <w:rsid w:val="007327AE"/>
    <w:rsid w:val="0076063A"/>
    <w:rsid w:val="0077026B"/>
    <w:rsid w:val="0077058B"/>
    <w:rsid w:val="007F27D7"/>
    <w:rsid w:val="00801693"/>
    <w:rsid w:val="008048BD"/>
    <w:rsid w:val="00813815"/>
    <w:rsid w:val="00814CCC"/>
    <w:rsid w:val="0082735A"/>
    <w:rsid w:val="00870DBC"/>
    <w:rsid w:val="00873B6B"/>
    <w:rsid w:val="008D475D"/>
    <w:rsid w:val="009302E1"/>
    <w:rsid w:val="00935F3B"/>
    <w:rsid w:val="009C19DF"/>
    <w:rsid w:val="009F3DD5"/>
    <w:rsid w:val="00A43C62"/>
    <w:rsid w:val="00A548C6"/>
    <w:rsid w:val="00A92091"/>
    <w:rsid w:val="00AA27FD"/>
    <w:rsid w:val="00AE39C8"/>
    <w:rsid w:val="00AF1816"/>
    <w:rsid w:val="00AF327F"/>
    <w:rsid w:val="00B03AA5"/>
    <w:rsid w:val="00B361ED"/>
    <w:rsid w:val="00BE2BBE"/>
    <w:rsid w:val="00BE3169"/>
    <w:rsid w:val="00C46D16"/>
    <w:rsid w:val="00C67732"/>
    <w:rsid w:val="00CB79B2"/>
    <w:rsid w:val="00CC5739"/>
    <w:rsid w:val="00CD4B6E"/>
    <w:rsid w:val="00CE6187"/>
    <w:rsid w:val="00D4468E"/>
    <w:rsid w:val="00D8188A"/>
    <w:rsid w:val="00D82401"/>
    <w:rsid w:val="00D8490D"/>
    <w:rsid w:val="00D96B49"/>
    <w:rsid w:val="00DA7C90"/>
    <w:rsid w:val="00DC2991"/>
    <w:rsid w:val="00DD02FF"/>
    <w:rsid w:val="00DD5FF0"/>
    <w:rsid w:val="00DE46CF"/>
    <w:rsid w:val="00E04C8A"/>
    <w:rsid w:val="00E37290"/>
    <w:rsid w:val="00E64F6F"/>
    <w:rsid w:val="00E919AD"/>
    <w:rsid w:val="00E94022"/>
    <w:rsid w:val="00EA2C09"/>
    <w:rsid w:val="00EA3F92"/>
    <w:rsid w:val="00EB3B20"/>
    <w:rsid w:val="00EC2EFC"/>
    <w:rsid w:val="00ED102B"/>
    <w:rsid w:val="00ED1238"/>
    <w:rsid w:val="00ED1DC2"/>
    <w:rsid w:val="00EE173D"/>
    <w:rsid w:val="00EF1887"/>
    <w:rsid w:val="00F62691"/>
    <w:rsid w:val="00FC225B"/>
    <w:rsid w:val="00FC5232"/>
    <w:rsid w:val="4CF704FB"/>
  </w:rsids>
  <m:mathPr>
    <m:lMargin m:val="0"/>
    <m:mathFont m:val="Cambria Math"/>
    <m:rMargin m:val="0"/>
    <m:wrapIndent m:val="1440"/>
    <m:brkBin m:val="before"/>
    <m:brkBinSub m:val="--"/>
    <m:defJc m:val="centerGroup"/>
    <m:intLim m:val="subSup"/>
    <m:naryLim m:val="undOvr"/>
    <m:smallFrac m:val=""/>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rFonts w:ascii="Times New Roman" w:hAnsi="Times New Roman" w:eastAsia="宋体" w:cs="Times New Roman"/>
      <w:sz w:val="18"/>
      <w:szCs w:val="18"/>
    </w:rPr>
  </w:style>
  <w:style w:type="character" w:customStyle="1" w:styleId="7">
    <w:name w:val="页脚 Char"/>
    <w:basedOn w:val="4"/>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zokea</Company>
  <Pages>2</Pages>
  <Words>306</Words>
  <Characters>1747</Characters>
  <Lines>14</Lines>
  <Paragraphs>4</Paragraphs>
  <TotalTime>0</TotalTime>
  <ScaleCrop>false</ScaleCrop>
  <LinksUpToDate>false</LinksUpToDate>
  <CharactersWithSpaces>2049</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2016-03-02T03:11:00Z</dcterms:created>
  <dc:creator>Administrator.2016-20161107VR</dc:creator>
  <cp:lastModifiedBy>Administrator</cp:lastModifiedBy>
  <dcterms:modified xsi:type="dcterms:W3CDTF">2016-12-09T04:01:04Z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