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智能家用医疗电子产品及健康管理云平台项目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项目所属</w:t>
            </w:r>
          </w:p>
          <w:p>
            <w:pPr>
              <w:spacing w:line="340" w:lineRule="exact"/>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FF0000"/>
                <w:kern w:val="0"/>
              </w:rPr>
            </w:pPr>
            <w:r>
              <w:rPr>
                <w:rFonts w:hint="eastAsia"/>
                <w:kern w:val="0"/>
                <w:sz w:val="24"/>
              </w:rPr>
              <w:t>电子信息产业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玉溪国家高新技术产业开发区龙泉园区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追求健康是人类的基本需求之一，健康产业的投资潜力巨大。健康产业包含医药产品、医疗器械、保健用品、营养食品、休闲健身、健康管理、健康咨询等多个与人类健康密切相关的领域，是极具发展潜力的朝阳产业。美国著名经济学家保尔•皮尔泽在其畅销书《财富第五波》中，将健康产业视作为全球“财富第五波”。发达国家健康产业发展的经验显示：随着生活水平不断提高，人们对健康产品和服务的需求将大幅增加，健康产业将逐渐发展成为国民经济中的重要支柱产业之一。目前，我国健康产业规模占国民生产总值的比重不到6%，受益于国家、地方叠加政策的扶持，未来的发展潜力十分巨大</w:t>
            </w:r>
          </w:p>
          <w:p>
            <w:pPr>
              <w:spacing w:line="340" w:lineRule="exact"/>
              <w:rPr>
                <w:rFonts w:asciiTheme="minorEastAsia" w:hAnsiTheme="minorEastAsia" w:eastAsiaTheme="minorEastAsia"/>
                <w:kern w:val="0"/>
              </w:rPr>
            </w:pPr>
            <w:r>
              <w:rPr>
                <w:rFonts w:hint="eastAsia"/>
                <w:kern w:val="0"/>
                <w:sz w:val="24"/>
              </w:rPr>
              <w:t>智能家用医疗电子产品具有操作简单、体积小巧、携带方便等特点，开始赢得越来越多消费者的青睐。未来，随着人们健康保健观念日益加强，智能家用医疗电子产品等家用医疗器械的市场需求将爆发式增长。前瞻性地布局智能家用医疗电子产品项目，不仅符合国家产业政策导向，而且市场前景十分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项目建设</w:t>
            </w:r>
          </w:p>
          <w:p>
            <w:pPr>
              <w:spacing w:line="340" w:lineRule="exact"/>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kern w:val="0"/>
              </w:rPr>
            </w:pPr>
            <w:r>
              <w:rPr>
                <w:rFonts w:hint="eastAsia"/>
                <w:b/>
                <w:kern w:val="0"/>
                <w:sz w:val="24"/>
              </w:rPr>
              <w:t>建设规模</w:t>
            </w:r>
            <w:r>
              <w:rPr>
                <w:rFonts w:hint="eastAsia"/>
                <w:kern w:val="0"/>
                <w:sz w:val="24"/>
              </w:rPr>
              <w:t>：主要建设生产集中区、综合服务区、仓储物流区、生活服务区、配套设施区及产品体验中心，</w:t>
            </w:r>
            <w:r>
              <w:rPr>
                <w:rFonts w:hint="eastAsia" w:asciiTheme="minorEastAsia" w:hAnsiTheme="minorEastAsia" w:eastAsiaTheme="minorEastAsia"/>
                <w:sz w:val="24"/>
              </w:rPr>
              <w:t>总建筑面积160000m</w:t>
            </w:r>
            <w:r>
              <w:rPr>
                <w:rFonts w:hint="eastAsia" w:asciiTheme="minorEastAsia" w:hAnsiTheme="minorEastAsia" w:eastAsiaTheme="minorEastAsia"/>
                <w:sz w:val="24"/>
                <w:vertAlign w:val="superscript"/>
              </w:rPr>
              <w:t>2</w:t>
            </w:r>
            <w:r>
              <w:rPr>
                <w:rFonts w:hint="eastAsia" w:asciiTheme="minorEastAsia" w:hAnsiTheme="minorEastAsia" w:eastAsiaTheme="minorEastAsia"/>
                <w:kern w:val="0"/>
                <w:sz w:val="24"/>
              </w:rPr>
              <w:t>。项目定位于生产血压计、血糖仪、电子体温计、电子计步器、电子体重计等智能家用医疗电子产品，产能为2500万台/年</w:t>
            </w:r>
          </w:p>
          <w:p>
            <w:pPr>
              <w:spacing w:line="340" w:lineRule="exact"/>
              <w:rPr>
                <w:kern w:val="0"/>
              </w:rPr>
            </w:pPr>
            <w:r>
              <w:rPr>
                <w:rFonts w:hint="eastAsia"/>
                <w:b/>
                <w:kern w:val="0"/>
                <w:sz w:val="24"/>
              </w:rPr>
              <w:t>建设期限</w:t>
            </w:r>
            <w:r>
              <w:rPr>
                <w:rFonts w:hint="eastAsia"/>
                <w:kern w:val="0"/>
                <w:sz w:val="24"/>
              </w:rPr>
              <w:t>：项目建设期为2年</w:t>
            </w:r>
          </w:p>
          <w:p>
            <w:pPr>
              <w:spacing w:line="340" w:lineRule="exact"/>
              <w:rPr>
                <w:kern w:val="0"/>
              </w:rPr>
            </w:pPr>
            <w:r>
              <w:rPr>
                <w:rFonts w:hint="eastAsia"/>
                <w:b/>
                <w:kern w:val="0"/>
                <w:sz w:val="24"/>
              </w:rPr>
              <w:t>占地面积</w:t>
            </w:r>
            <w:r>
              <w:rPr>
                <w:rFonts w:hint="eastAsia"/>
                <w:kern w:val="0"/>
                <w:sz w:val="24"/>
              </w:rPr>
              <w:t>：250亩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b/>
                <w:kern w:val="0"/>
                <w:sz w:val="24"/>
              </w:rPr>
              <w:t>项目优势</w:t>
            </w:r>
            <w:r>
              <w:rPr>
                <w:rFonts w:hint="eastAsia"/>
                <w:kern w:val="0"/>
                <w:sz w:val="24"/>
              </w:rPr>
              <w:t>：1、市场优势：全球医疗电子产业呈现稳步增长的发展趋势。2014年，全球医疗电子产业的市场销售额达到2255亿美元，同比增长5.7%。中国是世界上重要的医疗电子市场之一，医疗电子产业规模保持平稳快速增长。2014年，我国医疗电子市场销售额191.8亿美元，同比增长22.6%；2、投资优势：智能家用医疗电子产品未来的增长前景十分明朗，逐渐受到资本市场的青睐。国内外许多企业纷纷投资扩产布局相关项目，抢占行业发展先机。目前，西南地区尚无大型的智能家用医疗电子项目布局；3、区位优势：玉溪北上便捷进出中国内陆市场，南下直通越南、泰国、马来西亚、新加坡，具有上承昆明及内陆地区，下连滇南并辐射东南亚及南亚各国的集散功能；4、政策优势：“十二五”期间，国家密集释放政策红利，正在制定的医疗器械产业“十三五”规划中，智能家用医疗电子产品行业面临大好发展契机</w:t>
            </w:r>
          </w:p>
          <w:p>
            <w:pPr>
              <w:spacing w:line="340" w:lineRule="exact"/>
              <w:rPr>
                <w:kern w:val="0"/>
              </w:rPr>
            </w:pPr>
            <w:r>
              <w:rPr>
                <w:rFonts w:hint="eastAsia"/>
                <w:b/>
                <w:kern w:val="0"/>
                <w:sz w:val="24"/>
              </w:rPr>
              <w:t>项目前期准备情况</w:t>
            </w:r>
            <w:r>
              <w:rPr>
                <w:rFonts w:hint="eastAsia"/>
                <w:kern w:val="0"/>
                <w:sz w:val="24"/>
              </w:rPr>
              <w:t>：委托新加坡裕廊国际工程（苏州）有限公司编制了《玉溪国家高新区龙泉园区总体规划（2014-2030）》重点发展电子信息等五大产业。园区内外通达性好，基础设施不断完善，有3个创新服务机构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b/>
                <w:kern w:val="0"/>
                <w:sz w:val="24"/>
              </w:rPr>
              <w:t>投资估算</w:t>
            </w:r>
            <w:r>
              <w:rPr>
                <w:rFonts w:hint="eastAsia"/>
                <w:kern w:val="0"/>
                <w:sz w:val="24"/>
              </w:rPr>
              <w:t>：项目总投资102170万元，其中，建设工程投资30420万元、土地成本8750万元、流动铺底资金20000万元</w:t>
            </w:r>
          </w:p>
          <w:p>
            <w:pPr>
              <w:spacing w:line="340" w:lineRule="exact"/>
              <w:rPr>
                <w:kern w:val="0"/>
              </w:rPr>
            </w:pPr>
            <w:r>
              <w:rPr>
                <w:rFonts w:hint="eastAsia"/>
                <w:b/>
                <w:kern w:val="0"/>
                <w:sz w:val="24"/>
              </w:rPr>
              <w:t>筹措方式</w:t>
            </w:r>
            <w:r>
              <w:rPr>
                <w:rFonts w:hint="eastAsia"/>
                <w:kern w:val="0"/>
                <w:sz w:val="24"/>
              </w:rPr>
              <w:t>：企业自筹、银行贷款及定向增发等其它融资方式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kern w:val="0"/>
                <w:sz w:val="24"/>
              </w:rPr>
              <w:t>本项目能享受的招商引资主要政策有：《玉溪市人民政府关于解决建设项目落地困难进一步改善投资环境的实施意见》、《关于进一步加强招商引资工作的实施意见》、《云南省人民政府关于支持玉溪国家高新技术产业开发区发展的意见》、《玉溪高新技术产业开发区关于加强招商引资工作推动产业转型升级暂行办法》、《玉溪高新区引进高层次人才暂行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市场定位</w:t>
            </w:r>
            <w:r>
              <w:rPr>
                <w:rFonts w:hint="eastAsia"/>
                <w:kern w:val="0"/>
                <w:sz w:val="24"/>
              </w:rPr>
              <w:t>：市场前景明朗、市场规模持续快速增长的国内市场为主，在部分中高端产品领域适当兼顾国外市场</w:t>
            </w:r>
          </w:p>
          <w:p>
            <w:pPr>
              <w:spacing w:line="340" w:lineRule="exact"/>
              <w:rPr>
                <w:kern w:val="0"/>
              </w:rPr>
            </w:pPr>
            <w:r>
              <w:rPr>
                <w:rFonts w:hint="eastAsia"/>
                <w:b/>
                <w:kern w:val="0"/>
                <w:sz w:val="24"/>
              </w:rPr>
              <w:t>市场分析</w:t>
            </w:r>
            <w:r>
              <w:rPr>
                <w:rFonts w:hint="eastAsia"/>
                <w:kern w:val="0"/>
                <w:sz w:val="24"/>
              </w:rPr>
              <w:t>：1、全球医疗电子市场分析：企业并购活动异常活跃。2014年，并购交易总额超过1030亿美元，同比飙升620.6%。2009-2014年，全球医疗电子市场规模从1599亿美元迅速攀升至2255亿美元，年平均复合增长率为16.4%。其中，美、欧、日、中占据全球医疗市场大部分市场份额；2、中国医疗电子市场分析：国内医疗电子市场规模迅猛攀升。2009-2014年，我国医疗电子市场规模从53.5亿美元迅速攀升至191.8亿美元，年平均复合增长率达到29.1%。其中，珠三角地区、长三角地区和环渤海地区三大区域的医疗电子产业总产值和销售额均占全国的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项目赢利点</w:t>
            </w:r>
            <w:r>
              <w:rPr>
                <w:rFonts w:hint="eastAsia"/>
                <w:kern w:val="0"/>
                <w:sz w:val="24"/>
              </w:rPr>
              <w:t>：智能家用医疗电子产品销售收入、健康管理云平台服务收入</w:t>
            </w:r>
          </w:p>
          <w:p>
            <w:pPr>
              <w:spacing w:line="340" w:lineRule="exact"/>
              <w:rPr>
                <w:kern w:val="0"/>
              </w:rPr>
            </w:pPr>
            <w:r>
              <w:rPr>
                <w:rFonts w:hint="eastAsia"/>
                <w:b/>
                <w:kern w:val="0"/>
                <w:sz w:val="24"/>
              </w:rPr>
              <w:t>初步效益分析</w:t>
            </w:r>
            <w:r>
              <w:rPr>
                <w:rFonts w:hint="eastAsia"/>
                <w:kern w:val="0"/>
                <w:sz w:val="24"/>
              </w:rPr>
              <w:t>：通过简单动态财务测算，扣除各种税金及附加，项目每年能实现净利润约20635万元。以现金流量测算，投资回收期约为4年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主要风险</w:t>
            </w:r>
            <w:r>
              <w:rPr>
                <w:rFonts w:hint="eastAsia"/>
                <w:kern w:val="0"/>
                <w:sz w:val="24"/>
              </w:rPr>
              <w:t>：市场风险、行业风险和经营管理风险，风险较小</w:t>
            </w:r>
          </w:p>
          <w:p>
            <w:pPr>
              <w:spacing w:line="340" w:lineRule="exact"/>
              <w:rPr>
                <w:kern w:val="0"/>
              </w:rPr>
            </w:pPr>
            <w:r>
              <w:rPr>
                <w:rFonts w:hint="eastAsia"/>
                <w:b/>
                <w:kern w:val="0"/>
                <w:sz w:val="24"/>
              </w:rPr>
              <w:t>防范措施</w:t>
            </w:r>
            <w:r>
              <w:rPr>
                <w:rFonts w:hint="eastAsia"/>
                <w:kern w:val="0"/>
                <w:sz w:val="24"/>
              </w:rPr>
              <w:t>：市场风险防范措施：1、明确项目定位；2、提高产品性价比；3、提升产品体验。经营管理风险防范措施：1、制定科学的投融资计划；2、优化企业软硬环境；3、健全企业激励制度。行业风险说明：项目属于国家产业政策鼓励发展的方向，优先引进医疗电子行业内领先企业，行业政策变动对大型企业偏于利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line="340" w:lineRule="exact"/>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03E08"/>
    <w:rsid w:val="00035855"/>
    <w:rsid w:val="000501BC"/>
    <w:rsid w:val="000562D8"/>
    <w:rsid w:val="00065808"/>
    <w:rsid w:val="000948FF"/>
    <w:rsid w:val="000B6A9D"/>
    <w:rsid w:val="00104B0D"/>
    <w:rsid w:val="00107AFE"/>
    <w:rsid w:val="00110A62"/>
    <w:rsid w:val="001346E7"/>
    <w:rsid w:val="001370BF"/>
    <w:rsid w:val="001434F7"/>
    <w:rsid w:val="001775E9"/>
    <w:rsid w:val="00184E9A"/>
    <w:rsid w:val="001876CF"/>
    <w:rsid w:val="001B5882"/>
    <w:rsid w:val="001C74CC"/>
    <w:rsid w:val="001E792D"/>
    <w:rsid w:val="00202D13"/>
    <w:rsid w:val="00232932"/>
    <w:rsid w:val="00233BD0"/>
    <w:rsid w:val="002B3BBC"/>
    <w:rsid w:val="002C16B2"/>
    <w:rsid w:val="003132BA"/>
    <w:rsid w:val="00322D95"/>
    <w:rsid w:val="00392FCD"/>
    <w:rsid w:val="003A4C61"/>
    <w:rsid w:val="003B6525"/>
    <w:rsid w:val="003E5C3F"/>
    <w:rsid w:val="0041409C"/>
    <w:rsid w:val="00426884"/>
    <w:rsid w:val="00433DBC"/>
    <w:rsid w:val="004844A6"/>
    <w:rsid w:val="00493951"/>
    <w:rsid w:val="004A1982"/>
    <w:rsid w:val="004B0098"/>
    <w:rsid w:val="004E3222"/>
    <w:rsid w:val="004F35A0"/>
    <w:rsid w:val="004F36E9"/>
    <w:rsid w:val="00506932"/>
    <w:rsid w:val="005273C5"/>
    <w:rsid w:val="00544020"/>
    <w:rsid w:val="00570378"/>
    <w:rsid w:val="00585FFA"/>
    <w:rsid w:val="005A21B0"/>
    <w:rsid w:val="005A4177"/>
    <w:rsid w:val="005E507B"/>
    <w:rsid w:val="006035B3"/>
    <w:rsid w:val="006052BC"/>
    <w:rsid w:val="00652DB0"/>
    <w:rsid w:val="00661A91"/>
    <w:rsid w:val="006754EE"/>
    <w:rsid w:val="006B78D7"/>
    <w:rsid w:val="006E3379"/>
    <w:rsid w:val="007327AE"/>
    <w:rsid w:val="0076063A"/>
    <w:rsid w:val="0077026B"/>
    <w:rsid w:val="0077058B"/>
    <w:rsid w:val="007F27D7"/>
    <w:rsid w:val="00801693"/>
    <w:rsid w:val="008048BD"/>
    <w:rsid w:val="00813815"/>
    <w:rsid w:val="00814CCC"/>
    <w:rsid w:val="0082735A"/>
    <w:rsid w:val="0084137D"/>
    <w:rsid w:val="00870DBC"/>
    <w:rsid w:val="00873B6B"/>
    <w:rsid w:val="008D475D"/>
    <w:rsid w:val="009302E1"/>
    <w:rsid w:val="00935F3B"/>
    <w:rsid w:val="009C19DF"/>
    <w:rsid w:val="009D3282"/>
    <w:rsid w:val="009F3DD5"/>
    <w:rsid w:val="00A035D8"/>
    <w:rsid w:val="00A43C62"/>
    <w:rsid w:val="00A548C6"/>
    <w:rsid w:val="00A92091"/>
    <w:rsid w:val="00AA27FD"/>
    <w:rsid w:val="00AE39C8"/>
    <w:rsid w:val="00AF1816"/>
    <w:rsid w:val="00AF327F"/>
    <w:rsid w:val="00AF5304"/>
    <w:rsid w:val="00B03AA5"/>
    <w:rsid w:val="00B361ED"/>
    <w:rsid w:val="00BE2BBE"/>
    <w:rsid w:val="00BE3169"/>
    <w:rsid w:val="00C46D16"/>
    <w:rsid w:val="00C520FC"/>
    <w:rsid w:val="00C67732"/>
    <w:rsid w:val="00CB79B2"/>
    <w:rsid w:val="00CD4B6E"/>
    <w:rsid w:val="00CE6187"/>
    <w:rsid w:val="00D4468E"/>
    <w:rsid w:val="00D8188A"/>
    <w:rsid w:val="00D82401"/>
    <w:rsid w:val="00D8490D"/>
    <w:rsid w:val="00D96B49"/>
    <w:rsid w:val="00DB7FAB"/>
    <w:rsid w:val="00DC2991"/>
    <w:rsid w:val="00DD02FF"/>
    <w:rsid w:val="00DD5FF0"/>
    <w:rsid w:val="00DE46CF"/>
    <w:rsid w:val="00DF004B"/>
    <w:rsid w:val="00E019AD"/>
    <w:rsid w:val="00E04C8A"/>
    <w:rsid w:val="00E37290"/>
    <w:rsid w:val="00E64F6F"/>
    <w:rsid w:val="00E919AD"/>
    <w:rsid w:val="00E94022"/>
    <w:rsid w:val="00EA2C09"/>
    <w:rsid w:val="00EA3F92"/>
    <w:rsid w:val="00EB3B20"/>
    <w:rsid w:val="00EC2EFC"/>
    <w:rsid w:val="00ED102B"/>
    <w:rsid w:val="00ED1238"/>
    <w:rsid w:val="00ED1DC2"/>
    <w:rsid w:val="00EE173D"/>
    <w:rsid w:val="00EF1887"/>
    <w:rsid w:val="00F411D5"/>
    <w:rsid w:val="00F62691"/>
    <w:rsid w:val="00FC225B"/>
    <w:rsid w:val="00FC5232"/>
    <w:rsid w:val="1DEA50C8"/>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316</Words>
  <Characters>1805</Characters>
  <Lines>15</Lines>
  <Paragraphs>4</Paragraphs>
  <TotalTime>0</TotalTime>
  <ScaleCrop>false</ScaleCrop>
  <LinksUpToDate>false</LinksUpToDate>
  <CharactersWithSpaces>2117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Administrator.2016-20161107VR</dc:creator>
  <cp:lastModifiedBy>Administrator</cp:lastModifiedBy>
  <dcterms:modified xsi:type="dcterms:W3CDTF">2016-12-09T04:01:18Z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